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8F" w:rsidRPr="0032098F" w:rsidRDefault="0032098F" w:rsidP="0032098F">
      <w:pPr>
        <w:pStyle w:val="Titel"/>
        <w:rPr>
          <w:rFonts w:eastAsia="Calibri"/>
        </w:rPr>
      </w:pPr>
      <w:r w:rsidRPr="005624A0">
        <w:rPr>
          <w:noProof/>
          <w:sz w:val="72"/>
          <w:szCs w:val="72"/>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margin">
                  <wp:posOffset>7620</wp:posOffset>
                </wp:positionV>
                <wp:extent cx="716280" cy="220980"/>
                <wp:effectExtent l="0" t="0" r="26670" b="26670"/>
                <wp:wrapTight wrapText="bothSides">
                  <wp:wrapPolygon edited="0">
                    <wp:start x="0" y="0"/>
                    <wp:lineTo x="0" y="22345"/>
                    <wp:lineTo x="21830" y="22345"/>
                    <wp:lineTo x="21830" y="0"/>
                    <wp:lineTo x="0" y="0"/>
                  </wp:wrapPolygon>
                </wp:wrapTight>
                <wp:docPr id="1" name="Rechthoek 1"/>
                <wp:cNvGraphicFramePr/>
                <a:graphic xmlns:a="http://schemas.openxmlformats.org/drawingml/2006/main">
                  <a:graphicData uri="http://schemas.microsoft.com/office/word/2010/wordprocessingShape">
                    <wps:wsp>
                      <wps:cNvSpPr/>
                      <wps:spPr>
                        <a:xfrm>
                          <a:off x="0" y="0"/>
                          <a:ext cx="716280" cy="22098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DFF3C" id="Rechthoek 1" o:spid="_x0000_s1026" style="position:absolute;margin-left:0;margin-top:.6pt;width:56.4pt;height:17.4pt;z-index:-251658240;visibility:visible;mso-wrap-style:square;mso-wrap-distance-left:9pt;mso-wrap-distance-top:0;mso-wrap-distance-right:9pt;mso-wrap-distance-bottom:0;mso-position-horizontal:left;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" fillcolor="#fdc300 [3205]" strokecolor="#fdc300 [3205]" strokeweight="1pt">
                <w10:wrap type="tight" anchorx="page" anchory="margin"/>
              </v:rect>
            </w:pict>
          </mc:Fallback>
        </mc:AlternateContent>
      </w:r>
      <w:r w:rsidRPr="0032098F">
        <w:rPr>
          <w:rFonts w:eastAsia="Calibri"/>
        </w:rPr>
        <w:t>Algemene voorwaarden</w:t>
      </w:r>
    </w:p>
    <w:p w:rsidR="0032098F" w:rsidRPr="0032098F" w:rsidRDefault="0032098F" w:rsidP="0032098F">
      <w:pPr>
        <w:pStyle w:val="Ondertitel"/>
        <w:rPr>
          <w:rFonts w:eastAsia="Calibri"/>
        </w:rPr>
      </w:pPr>
      <w:r w:rsidRPr="0032098F">
        <w:rPr>
          <w:rFonts w:eastAsia="Calibri"/>
        </w:rPr>
        <w:t>Bèta Bijles Betuwe</w:t>
      </w:r>
    </w:p>
    <w:p w:rsidR="0032098F" w:rsidRPr="0032098F" w:rsidRDefault="0032098F" w:rsidP="0032098F">
      <w:pPr>
        <w:rPr>
          <w:rFonts w:ascii="Helvetica" w:eastAsia="Calibri" w:hAnsi="Helvetica" w:cs="Helvetica"/>
          <w:sz w:val="24"/>
          <w:szCs w:val="24"/>
        </w:rPr>
      </w:pPr>
      <w:r w:rsidRPr="0032098F">
        <w:rPr>
          <w:rFonts w:ascii="Helvetica" w:eastAsia="Calibri" w:hAnsi="Helvetica" w:cs="Helvetica"/>
          <w:sz w:val="24"/>
          <w:szCs w:val="24"/>
        </w:rPr>
        <w:t>De Algemene voorwaarden zijn algemene bepalingen die betrekking hebben tot de service die Bèta Bijles Betuwe biedt aan haar klanten. Alle partijen betrokken bij de service dienen van tevoren op de hoogte gesteld te zijn van deze algemene voorwaarden en dienen daar ook akkoord mee te zijn gegaan.</w:t>
      </w:r>
    </w:p>
    <w:p w:rsidR="0032098F" w:rsidRPr="0032098F" w:rsidRDefault="0032098F" w:rsidP="0032098F">
      <w:pPr>
        <w:pStyle w:val="Kop1"/>
        <w:rPr>
          <w:rFonts w:eastAsia="Calibri"/>
        </w:rPr>
      </w:pPr>
      <w:r w:rsidRPr="0032098F">
        <w:rPr>
          <w:rFonts w:eastAsia="Calibri"/>
        </w:rPr>
        <w:t>Artikel 1 – Definities</w:t>
      </w:r>
    </w:p>
    <w:p w:rsidR="0032098F" w:rsidRPr="0032098F" w:rsidRDefault="0032098F" w:rsidP="0032098F">
      <w:pPr>
        <w:spacing w:after="0"/>
        <w:rPr>
          <w:rFonts w:ascii="Helvetica" w:eastAsia="Calibri" w:hAnsi="Helvetica" w:cs="Helvetica"/>
          <w:sz w:val="24"/>
          <w:szCs w:val="24"/>
        </w:rPr>
      </w:pPr>
      <w:r w:rsidRPr="0032098F">
        <w:rPr>
          <w:rFonts w:ascii="Helvetica" w:eastAsia="Calibri" w:hAnsi="Helvetica" w:cs="Helvetica"/>
          <w:sz w:val="24"/>
          <w:szCs w:val="24"/>
        </w:rPr>
        <w:t>In deze algemene voorwaarden hebben de volgende woorden de volgende betekenis:</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BBB: Bèta Bijles Betuwe, het bedrijf wat de bijlessen verzorgd.</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Bijlesgever: Werknemer van BBB die bijles verzorgd voor de leerling.</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Leerling: De persoon die bijles ontvangt van de bijlesgever.</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Betaler: Persoon waaraan de bijles gefactureerd wordt, dit kan dezelfde persoon zijn als de leerling maar dit kan ook verschillen.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Klokuur: 60 minuten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Proefles: Eenmalige afname van een uur bijles om het te proberen, dit uur is gratis onder bepaalde voorwaarden. (zie artikel 3 - proefles)</w:t>
      </w:r>
    </w:p>
    <w:p w:rsidR="0032098F" w:rsidRPr="0032098F" w:rsidRDefault="0032098F" w:rsidP="0032098F">
      <w:pPr>
        <w:pStyle w:val="Kop1"/>
        <w:rPr>
          <w:rFonts w:eastAsia="Calibri"/>
        </w:rPr>
      </w:pPr>
      <w:r w:rsidRPr="0032098F">
        <w:rPr>
          <w:rFonts w:eastAsia="Calibri"/>
        </w:rPr>
        <w:t>Artikel 2 – Bundels</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4"/>
        </w:rPr>
        <w:t>Het aantal klokuren per bundel is maandelijks te wijzigen, dit mag op elk moment in de maand gewijzigd worden voor de eerstvolgende maand.</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8"/>
        </w:rPr>
        <w:t>Alle bundels zijn maandelijks opzegbaar, mits u dit voor de 20</w:t>
      </w:r>
      <w:r w:rsidRPr="0032098F">
        <w:rPr>
          <w:rFonts w:ascii="Helvetica" w:eastAsia="Calibri" w:hAnsi="Helvetica" w:cs="Helvetica"/>
          <w:sz w:val="24"/>
          <w:szCs w:val="28"/>
          <w:vertAlign w:val="superscript"/>
        </w:rPr>
        <w:t>e</w:t>
      </w:r>
      <w:r w:rsidRPr="0032098F">
        <w:rPr>
          <w:rFonts w:ascii="Helvetica" w:eastAsia="Calibri" w:hAnsi="Helvetica" w:cs="Helvetica"/>
          <w:sz w:val="24"/>
          <w:szCs w:val="28"/>
        </w:rPr>
        <w:t xml:space="preserve"> van de maand heeft doorgegeven.</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8"/>
        </w:rPr>
        <w:t>Er zal altijd minstens het minimumaantal uren van uw bundel in rekening worden gebracht aan het eind van de maand, dit is met uitzondering van de periode omtrent de vakanties. (zie artikel 4 – vakanties)</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4"/>
        </w:rPr>
        <w:t>Heeft u meer uren opgenomen dan uw bundel biedt dan wordt voor de extra uren hetzelfde uurtarief gehanteerd als de andere uren in uw bundel.</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4"/>
        </w:rPr>
        <w:t>Niet opgebruikte uren kunnen doorgeschoven worden naar de volgende maand. Deze moet dan als extra les in de volgende maand worden ingehaald.</w:t>
      </w:r>
    </w:p>
    <w:p w:rsidR="0032098F" w:rsidRPr="0032098F" w:rsidRDefault="0032098F" w:rsidP="0032098F">
      <w:pPr>
        <w:pStyle w:val="Kop1"/>
        <w:rPr>
          <w:rFonts w:eastAsia="Calibri"/>
        </w:rPr>
      </w:pPr>
      <w:r w:rsidRPr="0032098F">
        <w:rPr>
          <w:rFonts w:eastAsia="Calibri"/>
        </w:rPr>
        <w:t>Artikel 3 – Proeflessen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Proeflessen zijn gratis, onder de voorwaarde dat er na de proefles een bundel wordt afgesloten met een looptijd van ten minste 2 maanden. Zo niet, dan wordt er 20 euro in rekening gebracht voor dit uur.</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Elke leerling heeft recht op 1 gratis proefles per kalenderjaar.</w:t>
      </w:r>
    </w:p>
    <w:p w:rsidR="0032098F" w:rsidRPr="0032098F" w:rsidRDefault="0032098F" w:rsidP="0032098F">
      <w:pPr>
        <w:spacing w:after="0"/>
        <w:rPr>
          <w:rFonts w:ascii="Calibri" w:eastAsia="Calibri" w:hAnsi="Calibri" w:cs="Calibri"/>
          <w:b/>
          <w:sz w:val="28"/>
          <w:szCs w:val="28"/>
        </w:rPr>
      </w:pPr>
    </w:p>
    <w:p w:rsidR="0032098F" w:rsidRPr="0032098F" w:rsidRDefault="0032098F" w:rsidP="0032098F">
      <w:pPr>
        <w:pStyle w:val="Kop1"/>
        <w:rPr>
          <w:rFonts w:eastAsia="Calibri"/>
        </w:rPr>
      </w:pPr>
      <w:r w:rsidRPr="0032098F">
        <w:rPr>
          <w:rFonts w:eastAsia="Calibri"/>
        </w:rPr>
        <w:lastRenderedPageBreak/>
        <w:t>Artikel 4 – Vakanties</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In de vakantie wordt uw bundel op pauze gezet, dit betekent dat u alleen de lessen die in de vakantie zouden vallen niet hoeft te </w:t>
      </w:r>
      <w:r>
        <w:rPr>
          <w:rFonts w:ascii="Helvetica" w:eastAsia="Calibri" w:hAnsi="Helvetica" w:cs="Helvetica"/>
          <w:sz w:val="24"/>
          <w:szCs w:val="24"/>
        </w:rPr>
        <w:t>nem</w:t>
      </w:r>
      <w:r w:rsidRPr="0032098F">
        <w:rPr>
          <w:rFonts w:ascii="Helvetica" w:eastAsia="Calibri" w:hAnsi="Helvetica" w:cs="Helvetica"/>
          <w:sz w:val="24"/>
          <w:szCs w:val="24"/>
        </w:rPr>
        <w:t>en</w:t>
      </w:r>
      <w:r>
        <w:rPr>
          <w:rFonts w:ascii="Helvetica" w:eastAsia="Calibri" w:hAnsi="Helvetica" w:cs="Helvetica"/>
          <w:sz w:val="24"/>
          <w:szCs w:val="24"/>
        </w:rPr>
        <w:t xml:space="preserve"> en</w:t>
      </w:r>
      <w:r w:rsidRPr="0032098F">
        <w:rPr>
          <w:rFonts w:ascii="Helvetica" w:eastAsia="Calibri" w:hAnsi="Helvetica" w:cs="Helvetica"/>
          <w:sz w:val="24"/>
          <w:szCs w:val="24"/>
        </w:rPr>
        <w:t xml:space="preserve"> de bundel hoeft in die maand dus ook niet volledig verzadigd te worden. </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Uw bundel hervat zich altijd direct na de vakantie, m.u.v. de zomervakantie, in de eerste maand na de zomervakantie mag u zelf bepalen op welk moment u de bundel hervat, deze maand hoeft de bundel dus ook niet verzadigd te worden.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Als u buiten de officiële schoolvakanties besluit op vakantie te gaan wordt de bundel niet gepauzeerd, dit gebeurt alleen bij de officiële schoolvakanties.</w:t>
      </w:r>
    </w:p>
    <w:p w:rsidR="0032098F" w:rsidRPr="0032098F" w:rsidRDefault="0032098F" w:rsidP="0032098F">
      <w:pPr>
        <w:pStyle w:val="Kop1"/>
        <w:rPr>
          <w:rFonts w:eastAsia="Calibri"/>
        </w:rPr>
      </w:pPr>
      <w:r w:rsidRPr="0032098F">
        <w:rPr>
          <w:rFonts w:eastAsia="Calibri"/>
        </w:rPr>
        <w:t>Artikel 5 – Afwezigheid</w:t>
      </w:r>
    </w:p>
    <w:p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Een bijles kan tot 24 uur van tevoren kosteloos afgezegd worden, gebeurd dit binnen 24 uur dan wordt het volledige uur in rekening gebracht. Uiteraard moet het minimumaantal uren van uw bundel nog steeds bereikt worden als u 24 uur van tevoren heeft afgezegd.</w:t>
      </w:r>
    </w:p>
    <w:p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Als de bijlesgever meer dan 1 keer per 2 maanden binnen 24 uur afzegt, krijgt u 50% korting op de eerstvolgende les.</w:t>
      </w:r>
    </w:p>
    <w:p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 xml:space="preserve">Als een leerling te laat is, is het aan de bijlesgever of hij/zij alsnog een uur bijles geeft. </w:t>
      </w:r>
      <w:r w:rsidR="00307237">
        <w:rPr>
          <w:rFonts w:ascii="Helvetica" w:eastAsia="Calibri" w:hAnsi="Helvetica" w:cs="Helvetica"/>
          <w:sz w:val="24"/>
          <w:szCs w:val="28"/>
        </w:rPr>
        <w:t>Er wordt in dat geval</w:t>
      </w:r>
      <w:r w:rsidRPr="0032098F">
        <w:rPr>
          <w:rFonts w:ascii="Helvetica" w:eastAsia="Calibri" w:hAnsi="Helvetica" w:cs="Helvetica"/>
          <w:sz w:val="24"/>
          <w:szCs w:val="28"/>
        </w:rPr>
        <w:t xml:space="preserve"> per </w:t>
      </w:r>
      <w:r w:rsidR="00307237">
        <w:rPr>
          <w:rFonts w:ascii="Helvetica" w:eastAsia="Calibri" w:hAnsi="Helvetica" w:cs="Helvetica"/>
          <w:sz w:val="24"/>
          <w:szCs w:val="28"/>
        </w:rPr>
        <w:t xml:space="preserve">15 </w:t>
      </w:r>
      <w:r w:rsidRPr="0032098F">
        <w:rPr>
          <w:rFonts w:ascii="Helvetica" w:eastAsia="Calibri" w:hAnsi="Helvetica" w:cs="Helvetica"/>
          <w:sz w:val="24"/>
          <w:szCs w:val="28"/>
        </w:rPr>
        <w:t>minuten extra kosten in rekening gebracht die overeenkomen met het uurtarief van de les.</w:t>
      </w:r>
    </w:p>
    <w:p w:rsidR="0032098F" w:rsidRPr="0032098F" w:rsidRDefault="0032098F" w:rsidP="0032098F">
      <w:pPr>
        <w:numPr>
          <w:ilvl w:val="0"/>
          <w:numId w:val="1"/>
        </w:numPr>
        <w:spacing w:after="0"/>
        <w:contextualSpacing/>
        <w:rPr>
          <w:rFonts w:ascii="Helvetica" w:eastAsia="Calibri" w:hAnsi="Helvetica" w:cs="Helvetica"/>
          <w:sz w:val="24"/>
          <w:szCs w:val="28"/>
        </w:rPr>
      </w:pPr>
      <w:r w:rsidRPr="0032098F">
        <w:rPr>
          <w:rFonts w:ascii="Helvetica" w:eastAsia="Calibri" w:hAnsi="Helvetica" w:cs="Helvetica"/>
          <w:sz w:val="24"/>
          <w:szCs w:val="28"/>
        </w:rPr>
        <w:t>Als een leerling meer dan een halfuur te laat is, mag de bijlesgever besluiten om de les niet te geven, de les wordt dan wel in rekening gebracht.</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4"/>
        </w:rPr>
        <w:t>Als een leerling voor langer dan 2 weken afwezig is door ziekte dan wordt uw bundel gepauzeerd, in de maand(en) waarin de leerling afwezig is hoeft u dan niet uw bundel te verzadigen, alleen de gegeven lesuren worden in rekening gebracht.</w:t>
      </w:r>
    </w:p>
    <w:p w:rsidR="0032098F" w:rsidRPr="0032098F" w:rsidRDefault="0032098F" w:rsidP="0032098F">
      <w:pPr>
        <w:numPr>
          <w:ilvl w:val="0"/>
          <w:numId w:val="1"/>
        </w:numPr>
        <w:spacing w:after="0"/>
        <w:contextualSpacing/>
        <w:rPr>
          <w:rFonts w:ascii="Helvetica" w:eastAsia="Calibri" w:hAnsi="Helvetica" w:cs="Helvetica"/>
          <w:sz w:val="28"/>
          <w:szCs w:val="28"/>
        </w:rPr>
      </w:pPr>
      <w:r w:rsidRPr="0032098F">
        <w:rPr>
          <w:rFonts w:ascii="Helvetica" w:eastAsia="Calibri" w:hAnsi="Helvetica" w:cs="Helvetica"/>
          <w:sz w:val="24"/>
          <w:szCs w:val="28"/>
        </w:rPr>
        <w:t>Als een bijlesgever een les afzegt, dan wordt dezelfde regeling toegepast als bij een week vakantie, u hoeft dan dus niet het minimumaantal uren van uw bundel te bereiken die maand.</w:t>
      </w:r>
    </w:p>
    <w:p w:rsidR="0032098F" w:rsidRPr="0032098F" w:rsidRDefault="0032098F" w:rsidP="0032098F">
      <w:pPr>
        <w:pStyle w:val="Kop1"/>
        <w:rPr>
          <w:rFonts w:eastAsia="Calibri"/>
        </w:rPr>
      </w:pPr>
      <w:r w:rsidRPr="0032098F">
        <w:rPr>
          <w:rFonts w:eastAsia="Calibri"/>
        </w:rPr>
        <w:t>Artikel 6 – Privacy</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Wanneer u gebruikt maakt van onze website verzamelen wij enkele gegevens</w:t>
      </w:r>
      <w:r>
        <w:rPr>
          <w:rFonts w:ascii="Helvetica" w:eastAsia="Calibri" w:hAnsi="Helvetica" w:cs="Helvetica"/>
          <w:sz w:val="24"/>
          <w:szCs w:val="24"/>
        </w:rPr>
        <w:t>.</w:t>
      </w:r>
      <w:r w:rsidRPr="0032098F">
        <w:rPr>
          <w:rFonts w:ascii="Helvetica" w:eastAsia="Calibri" w:hAnsi="Helvetica" w:cs="Helvetica"/>
          <w:sz w:val="24"/>
          <w:szCs w:val="24"/>
        </w:rPr>
        <w:t xml:space="preserve"> </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Iedereen die zich heeft ingeschreven bij BBB, zowel als opdrachtgever als werknemer, gaat ermee akkoord dat de gegevens die van belang zijn voor het goed functioneren van BBB worden opgeslagen en verwerkt.</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Als u een derde toestemming geeft tot inzicht in uw gegevens, krijgt deze persoon toegang de volgende gegevens: NAW-gegevens, telefoonnummer en uw online dossier. </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BBB zal gegevens die aan ons verstrekt zijn voor het uitvoeren van onze diensten niet verstrekken aan derden.</w:t>
      </w:r>
    </w:p>
    <w:p w:rsidR="0032098F" w:rsidRPr="0032098F" w:rsidRDefault="0032098F" w:rsidP="0032098F">
      <w:pPr>
        <w:pStyle w:val="Kop1"/>
      </w:pPr>
      <w:r w:rsidRPr="0032098F">
        <w:lastRenderedPageBreak/>
        <w:t>Artikel 7 – Betalingsverkeer</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De betaler betaalt nooit factuurkosten.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Betalingen dienen binnen 14 dagen na de factuurdatum overgemaakt te zijn, hierna wordt er 1 euro per werkweek aan rente geïncasseerd.</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De betaler krijgt de facturen ten alle tijden via de mail toegestuurd, de facturen kunnen in overleg op andere manieren worden overhandigd, voor de factuurdatum wordt dan nog steeds de datum van de mail aangehouden.</w:t>
      </w:r>
    </w:p>
    <w:p w:rsidR="0032098F" w:rsidRPr="0032098F" w:rsidRDefault="0032098F" w:rsidP="0032098F">
      <w:pPr>
        <w:numPr>
          <w:ilvl w:val="0"/>
          <w:numId w:val="1"/>
        </w:numPr>
        <w:spacing w:after="0"/>
        <w:contextualSpacing/>
        <w:rPr>
          <w:rFonts w:ascii="Helvetica" w:eastAsia="Calibri" w:hAnsi="Helvetica" w:cs="Helvetica"/>
          <w:sz w:val="28"/>
          <w:szCs w:val="24"/>
        </w:rPr>
      </w:pPr>
      <w:r w:rsidRPr="0032098F">
        <w:rPr>
          <w:rFonts w:ascii="Helvetica" w:eastAsia="Calibri" w:hAnsi="Helvetica" w:cs="Helvetica"/>
          <w:sz w:val="24"/>
        </w:rPr>
        <w:t>Alle buitengerechtelijke kosten die ontstaan door het verzuimen van betalen zijn ten alle tijden voor de rekening van de betaler.</w:t>
      </w:r>
    </w:p>
    <w:p w:rsidR="0032098F" w:rsidRPr="0032098F" w:rsidRDefault="0032098F" w:rsidP="0032098F">
      <w:pPr>
        <w:numPr>
          <w:ilvl w:val="0"/>
          <w:numId w:val="1"/>
        </w:numPr>
        <w:spacing w:after="0"/>
        <w:contextualSpacing/>
        <w:rPr>
          <w:rFonts w:ascii="Helvetica" w:eastAsia="Calibri" w:hAnsi="Helvetica" w:cs="Helvetica"/>
          <w:sz w:val="28"/>
          <w:szCs w:val="24"/>
        </w:rPr>
      </w:pPr>
      <w:r w:rsidRPr="0032098F">
        <w:rPr>
          <w:rFonts w:ascii="Helvetica" w:eastAsia="Calibri" w:hAnsi="Helvetica" w:cs="Helvetica"/>
          <w:sz w:val="24"/>
          <w:szCs w:val="24"/>
        </w:rPr>
        <w:t>De betaler betaalt reiskosten als de bijlesgever heen en weer meer dan 5 km moet reizen. De reiskostenvergoeding bedraagt 19 cent per km.</w:t>
      </w:r>
      <w:r w:rsidR="00EC2C9B">
        <w:rPr>
          <w:rFonts w:ascii="Helvetica" w:eastAsia="Calibri" w:hAnsi="Helvetica" w:cs="Helvetica"/>
          <w:sz w:val="24"/>
          <w:szCs w:val="24"/>
        </w:rPr>
        <w:t xml:space="preserve"> De eerste 5 km blijven nog steeds kosteloos, ook als er reiskosten betaald moeten worden.</w:t>
      </w:r>
      <w:bookmarkStart w:id="0" w:name="_GoBack"/>
      <w:bookmarkEnd w:id="0"/>
    </w:p>
    <w:p w:rsidR="0032098F" w:rsidRPr="0032098F" w:rsidRDefault="0032098F" w:rsidP="0032098F">
      <w:pPr>
        <w:pStyle w:val="Kop1"/>
        <w:rPr>
          <w:rFonts w:eastAsia="Calibri"/>
        </w:rPr>
      </w:pPr>
      <w:r w:rsidRPr="0032098F">
        <w:rPr>
          <w:rFonts w:eastAsia="Calibri"/>
        </w:rPr>
        <w:t>Artikel 8 – Aanpassingen</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BBB heeft ten allen tijden het recht om de algemene voorwaarden te wijzigen, als de wijzigingen direct effect op u hebben dient BBB u van de wijzigingen op de hoogte te stellen. </w:t>
      </w:r>
    </w:p>
    <w:p w:rsidR="0032098F" w:rsidRPr="0032098F" w:rsidRDefault="0032098F" w:rsidP="0032098F">
      <w:pPr>
        <w:numPr>
          <w:ilvl w:val="0"/>
          <w:numId w:val="1"/>
        </w:numPr>
        <w:spacing w:after="0"/>
        <w:contextualSpacing/>
        <w:rPr>
          <w:rFonts w:ascii="Helvetica" w:eastAsia="Calibri" w:hAnsi="Helvetica" w:cs="Helvetica"/>
          <w:sz w:val="24"/>
          <w:szCs w:val="24"/>
        </w:rPr>
      </w:pPr>
      <w:r w:rsidRPr="0032098F">
        <w:rPr>
          <w:rFonts w:ascii="Helvetica" w:eastAsia="Calibri" w:hAnsi="Helvetica" w:cs="Helvetica"/>
          <w:sz w:val="24"/>
          <w:szCs w:val="24"/>
        </w:rPr>
        <w:t xml:space="preserve">Als de betaler of de leerling niet akkoord gaat met de wijzigingen (Bij geen reactie op de wijzigingen wordt uitgegaan van een akkoord), dan wordt de overeenkomst tussen BBB en de klant direct stopgezet en worden alleen de opgebruikte lesuren van die maand gefactureerd. </w:t>
      </w:r>
    </w:p>
    <w:p w:rsidR="0032098F" w:rsidRPr="0032098F" w:rsidRDefault="0032098F" w:rsidP="0032098F">
      <w:pPr>
        <w:spacing w:after="0"/>
        <w:ind w:left="360"/>
        <w:rPr>
          <w:rFonts w:ascii="Calibri" w:eastAsia="Calibri" w:hAnsi="Calibri" w:cs="Calibri"/>
          <w:sz w:val="24"/>
          <w:szCs w:val="24"/>
        </w:rPr>
      </w:pPr>
    </w:p>
    <w:p w:rsidR="004B6210" w:rsidRPr="0032098F" w:rsidRDefault="004B6210" w:rsidP="0032098F"/>
    <w:sectPr w:rsidR="004B6210" w:rsidRPr="003209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A8A" w:rsidRDefault="00C11A8A" w:rsidP="00314469">
      <w:pPr>
        <w:spacing w:after="0" w:line="240" w:lineRule="auto"/>
      </w:pPr>
      <w:r>
        <w:separator/>
      </w:r>
    </w:p>
  </w:endnote>
  <w:endnote w:type="continuationSeparator" w:id="0">
    <w:p w:rsidR="00C11A8A" w:rsidRDefault="00C11A8A" w:rsidP="0031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54936274"/>
      <w:docPartObj>
        <w:docPartGallery w:val="Page Numbers (Bottom of Page)"/>
        <w:docPartUnique/>
      </w:docPartObj>
    </w:sdtPr>
    <w:sdtEndPr>
      <w:rPr>
        <w:color w:val="F27D00" w:themeColor="accent1"/>
      </w:rPr>
    </w:sdtEndPr>
    <w:sdtContent>
      <w:p w:rsidR="00C6621D" w:rsidRPr="00C6621D" w:rsidRDefault="00C6621D">
        <w:pPr>
          <w:pStyle w:val="Voettekst"/>
          <w:jc w:val="center"/>
          <w:rPr>
            <w:rFonts w:asciiTheme="majorHAnsi" w:eastAsiaTheme="majorEastAsia" w:hAnsiTheme="majorHAnsi" w:cstheme="majorBidi"/>
            <w:color w:val="F27D00" w:themeColor="accent1"/>
            <w:sz w:val="28"/>
            <w:szCs w:val="28"/>
          </w:rPr>
        </w:pPr>
        <w:r w:rsidRPr="00C6621D">
          <w:rPr>
            <w:rFonts w:asciiTheme="majorHAnsi" w:eastAsiaTheme="majorEastAsia" w:hAnsiTheme="majorHAnsi" w:cstheme="majorBidi"/>
            <w:color w:val="F27D00" w:themeColor="accent1"/>
            <w:sz w:val="28"/>
            <w:szCs w:val="28"/>
          </w:rPr>
          <w:t xml:space="preserve">~ </w:t>
        </w:r>
        <w:r w:rsidRPr="00C6621D">
          <w:rPr>
            <w:rFonts w:eastAsiaTheme="minorEastAsia" w:cs="Times New Roman"/>
            <w:color w:val="F27D00" w:themeColor="accent1"/>
          </w:rPr>
          <w:fldChar w:fldCharType="begin"/>
        </w:r>
        <w:r w:rsidRPr="00C6621D">
          <w:rPr>
            <w:color w:val="F27D00" w:themeColor="accent1"/>
          </w:rPr>
          <w:instrText>PAGE    \* MERGEFORMAT</w:instrText>
        </w:r>
        <w:r w:rsidRPr="00C6621D">
          <w:rPr>
            <w:rFonts w:eastAsiaTheme="minorEastAsia" w:cs="Times New Roman"/>
            <w:color w:val="F27D00" w:themeColor="accent1"/>
          </w:rPr>
          <w:fldChar w:fldCharType="separate"/>
        </w:r>
        <w:r w:rsidRPr="00C6621D">
          <w:rPr>
            <w:rFonts w:asciiTheme="majorHAnsi" w:eastAsiaTheme="majorEastAsia" w:hAnsiTheme="majorHAnsi" w:cstheme="majorBidi"/>
            <w:color w:val="F27D00" w:themeColor="accent1"/>
            <w:sz w:val="28"/>
            <w:szCs w:val="28"/>
          </w:rPr>
          <w:t>2</w:t>
        </w:r>
        <w:r w:rsidRPr="00C6621D">
          <w:rPr>
            <w:rFonts w:asciiTheme="majorHAnsi" w:eastAsiaTheme="majorEastAsia" w:hAnsiTheme="majorHAnsi" w:cstheme="majorBidi"/>
            <w:color w:val="F27D00" w:themeColor="accent1"/>
            <w:sz w:val="28"/>
            <w:szCs w:val="28"/>
          </w:rPr>
          <w:fldChar w:fldCharType="end"/>
        </w:r>
        <w:r w:rsidRPr="00C6621D">
          <w:rPr>
            <w:rFonts w:asciiTheme="majorHAnsi" w:eastAsiaTheme="majorEastAsia" w:hAnsiTheme="majorHAnsi" w:cstheme="majorBidi"/>
            <w:color w:val="F27D00" w:themeColor="accent1"/>
            <w:sz w:val="28"/>
            <w:szCs w:val="28"/>
          </w:rPr>
          <w:t xml:space="preserve"> ~</w:t>
        </w:r>
      </w:p>
    </w:sdtContent>
  </w:sdt>
  <w:p w:rsidR="00C6621D" w:rsidRDefault="00C662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A8A" w:rsidRDefault="00C11A8A" w:rsidP="00314469">
      <w:pPr>
        <w:spacing w:after="0" w:line="240" w:lineRule="auto"/>
      </w:pPr>
      <w:r>
        <w:separator/>
      </w:r>
    </w:p>
  </w:footnote>
  <w:footnote w:type="continuationSeparator" w:id="0">
    <w:p w:rsidR="00C11A8A" w:rsidRDefault="00C11A8A" w:rsidP="0031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9" w:rsidRDefault="0063443E">
    <w:pPr>
      <w:pStyle w:val="Koptekst"/>
    </w:pPr>
    <w:r w:rsidRPr="0063443E">
      <w:rPr>
        <w:rFonts w:ascii="Trebuchet MS" w:eastAsia="Trebuchet MS" w:hAnsi="Trebuchet MS" w:cs="Times New Roman"/>
        <w:noProof/>
      </w:rPr>
      <w:drawing>
        <wp:anchor distT="0" distB="0" distL="114300" distR="114300" simplePos="0" relativeHeight="251659264" behindDoc="0" locked="0" layoutInCell="1" allowOverlap="1" wp14:anchorId="1DC54538" wp14:editId="33FD3183">
          <wp:simplePos x="0" y="0"/>
          <wp:positionH relativeFrom="column">
            <wp:posOffset>5471160</wp:posOffset>
          </wp:positionH>
          <wp:positionV relativeFrom="paragraph">
            <wp:posOffset>-374015</wp:posOffset>
          </wp:positionV>
          <wp:extent cx="1292860" cy="899160"/>
          <wp:effectExtent l="0" t="0" r="0" b="0"/>
          <wp:wrapThrough wrapText="bothSides">
            <wp:wrapPolygon edited="0">
              <wp:start x="7320" y="0"/>
              <wp:lineTo x="5729" y="4576"/>
              <wp:lineTo x="6684" y="8237"/>
              <wp:lineTo x="5092" y="10983"/>
              <wp:lineTo x="6047" y="15559"/>
              <wp:lineTo x="8593" y="16932"/>
              <wp:lineTo x="9230" y="20593"/>
              <wp:lineTo x="10821" y="20593"/>
              <wp:lineTo x="11458" y="16932"/>
              <wp:lineTo x="14004" y="15102"/>
              <wp:lineTo x="14959" y="10525"/>
              <wp:lineTo x="13367" y="8237"/>
              <wp:lineTo x="14322" y="3203"/>
              <wp:lineTo x="13049" y="0"/>
              <wp:lineTo x="732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292860" cy="899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E0DCF"/>
    <w:multiLevelType w:val="hybridMultilevel"/>
    <w:tmpl w:val="04EE8716"/>
    <w:lvl w:ilvl="0" w:tplc="BD8AEF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69"/>
    <w:rsid w:val="000E2B56"/>
    <w:rsid w:val="00166355"/>
    <w:rsid w:val="00307237"/>
    <w:rsid w:val="00314469"/>
    <w:rsid w:val="0032098F"/>
    <w:rsid w:val="003D450C"/>
    <w:rsid w:val="004B5D8F"/>
    <w:rsid w:val="004B6210"/>
    <w:rsid w:val="00550D4F"/>
    <w:rsid w:val="005624A0"/>
    <w:rsid w:val="006268BA"/>
    <w:rsid w:val="0063443E"/>
    <w:rsid w:val="007A0632"/>
    <w:rsid w:val="008644F3"/>
    <w:rsid w:val="00AB3B5E"/>
    <w:rsid w:val="00C11A8A"/>
    <w:rsid w:val="00C6621D"/>
    <w:rsid w:val="00D052E0"/>
    <w:rsid w:val="00D234A6"/>
    <w:rsid w:val="00E632A4"/>
    <w:rsid w:val="00EC2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FEB8"/>
  <w15:chartTrackingRefBased/>
  <w15:docId w15:val="{CA8407FB-2D7D-4D50-A6F1-1E316E89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2B56"/>
    <w:pPr>
      <w:keepNext/>
      <w:keepLines/>
      <w:spacing w:before="400" w:after="40"/>
      <w:outlineLvl w:val="0"/>
    </w:pPr>
    <w:rPr>
      <w:rFonts w:asciiTheme="majorHAnsi" w:eastAsiaTheme="majorEastAsia" w:hAnsiTheme="majorHAnsi" w:cstheme="majorBidi"/>
      <w:color w:val="F27D00" w:themeColor="accent1"/>
      <w:sz w:val="36"/>
      <w:szCs w:val="32"/>
    </w:rPr>
  </w:style>
  <w:style w:type="paragraph" w:styleId="Kop2">
    <w:name w:val="heading 2"/>
    <w:basedOn w:val="Standaard"/>
    <w:next w:val="Standaard"/>
    <w:link w:val="Kop2Char"/>
    <w:uiPriority w:val="9"/>
    <w:unhideWhenUsed/>
    <w:qFormat/>
    <w:rsid w:val="004B6210"/>
    <w:pPr>
      <w:keepNext/>
      <w:keepLines/>
      <w:spacing w:before="40" w:after="0"/>
      <w:outlineLvl w:val="1"/>
    </w:pPr>
    <w:rPr>
      <w:rFonts w:asciiTheme="majorHAnsi" w:eastAsiaTheme="majorEastAsia" w:hAnsiTheme="majorHAnsi" w:cstheme="majorBidi"/>
      <w:color w:val="B55C00" w:themeColor="accent1" w:themeShade="BF"/>
      <w:sz w:val="26"/>
      <w:szCs w:val="26"/>
    </w:rPr>
  </w:style>
  <w:style w:type="paragraph" w:styleId="Kop3">
    <w:name w:val="heading 3"/>
    <w:basedOn w:val="Standaard"/>
    <w:next w:val="Standaard"/>
    <w:link w:val="Kop3Char"/>
    <w:uiPriority w:val="9"/>
    <w:unhideWhenUsed/>
    <w:qFormat/>
    <w:rsid w:val="004B6210"/>
    <w:pPr>
      <w:keepNext/>
      <w:keepLines/>
      <w:spacing w:before="40" w:after="0"/>
      <w:outlineLvl w:val="2"/>
    </w:pPr>
    <w:rPr>
      <w:rFonts w:asciiTheme="majorHAnsi" w:eastAsiaTheme="majorEastAsia" w:hAnsiTheme="majorHAnsi" w:cstheme="majorBidi"/>
      <w:color w:val="783D00" w:themeColor="accent1" w:themeShade="7F"/>
      <w:sz w:val="24"/>
      <w:szCs w:val="24"/>
    </w:rPr>
  </w:style>
  <w:style w:type="paragraph" w:styleId="Kop4">
    <w:name w:val="heading 4"/>
    <w:basedOn w:val="Standaard"/>
    <w:next w:val="Standaard"/>
    <w:link w:val="Kop4Char"/>
    <w:uiPriority w:val="9"/>
    <w:unhideWhenUsed/>
    <w:rsid w:val="00D052E0"/>
    <w:pPr>
      <w:keepNext/>
      <w:keepLines/>
      <w:spacing w:before="40" w:after="0"/>
      <w:outlineLvl w:val="3"/>
    </w:pPr>
    <w:rPr>
      <w:rFonts w:asciiTheme="majorHAnsi" w:eastAsiaTheme="majorEastAsia" w:hAnsiTheme="majorHAnsi" w:cstheme="majorBidi"/>
      <w:i/>
      <w:iCs/>
      <w:color w:val="B55C00" w:themeColor="accent1" w:themeShade="BF"/>
    </w:rPr>
  </w:style>
  <w:style w:type="paragraph" w:styleId="Kop5">
    <w:name w:val="heading 5"/>
    <w:basedOn w:val="Standaard"/>
    <w:next w:val="Standaard"/>
    <w:link w:val="Kop5Char"/>
    <w:uiPriority w:val="9"/>
    <w:unhideWhenUsed/>
    <w:rsid w:val="00D052E0"/>
    <w:pPr>
      <w:keepNext/>
      <w:keepLines/>
      <w:spacing w:before="40" w:after="0"/>
      <w:outlineLvl w:val="4"/>
    </w:pPr>
    <w:rPr>
      <w:rFonts w:asciiTheme="majorHAnsi" w:eastAsiaTheme="majorEastAsia" w:hAnsiTheme="majorHAnsi" w:cstheme="majorBidi"/>
      <w:color w:val="B55C0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469"/>
  </w:style>
  <w:style w:type="paragraph" w:styleId="Voettekst">
    <w:name w:val="footer"/>
    <w:basedOn w:val="Standaard"/>
    <w:link w:val="VoettekstChar"/>
    <w:uiPriority w:val="99"/>
    <w:unhideWhenUsed/>
    <w:rsid w:val="003144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469"/>
  </w:style>
  <w:style w:type="character" w:customStyle="1" w:styleId="Kop2Char">
    <w:name w:val="Kop 2 Char"/>
    <w:basedOn w:val="Standaardalinea-lettertype"/>
    <w:link w:val="Kop2"/>
    <w:uiPriority w:val="9"/>
    <w:rsid w:val="004B6210"/>
    <w:rPr>
      <w:rFonts w:asciiTheme="majorHAnsi" w:eastAsiaTheme="majorEastAsia" w:hAnsiTheme="majorHAnsi" w:cstheme="majorBidi"/>
      <w:color w:val="B55C00" w:themeColor="accent1" w:themeShade="BF"/>
      <w:sz w:val="26"/>
      <w:szCs w:val="26"/>
    </w:rPr>
  </w:style>
  <w:style w:type="character" w:customStyle="1" w:styleId="Kop1Char">
    <w:name w:val="Kop 1 Char"/>
    <w:basedOn w:val="Standaardalinea-lettertype"/>
    <w:link w:val="Kop1"/>
    <w:uiPriority w:val="9"/>
    <w:rsid w:val="000E2B56"/>
    <w:rPr>
      <w:rFonts w:asciiTheme="majorHAnsi" w:eastAsiaTheme="majorEastAsia" w:hAnsiTheme="majorHAnsi" w:cstheme="majorBidi"/>
      <w:color w:val="F27D00" w:themeColor="accent1"/>
      <w:sz w:val="36"/>
      <w:szCs w:val="32"/>
    </w:rPr>
  </w:style>
  <w:style w:type="paragraph" w:styleId="Titel">
    <w:name w:val="Title"/>
    <w:basedOn w:val="Standaard"/>
    <w:next w:val="Standaard"/>
    <w:link w:val="TitelChar"/>
    <w:uiPriority w:val="10"/>
    <w:qFormat/>
    <w:rsid w:val="004B6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621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B6210"/>
    <w:rPr>
      <w:rFonts w:asciiTheme="majorHAnsi" w:eastAsiaTheme="majorEastAsia" w:hAnsiTheme="majorHAnsi" w:cstheme="majorBidi"/>
      <w:color w:val="783D00" w:themeColor="accent1" w:themeShade="7F"/>
      <w:sz w:val="24"/>
      <w:szCs w:val="24"/>
    </w:rPr>
  </w:style>
  <w:style w:type="character" w:customStyle="1" w:styleId="Kop4Char">
    <w:name w:val="Kop 4 Char"/>
    <w:basedOn w:val="Standaardalinea-lettertype"/>
    <w:link w:val="Kop4"/>
    <w:uiPriority w:val="9"/>
    <w:rsid w:val="00D052E0"/>
    <w:rPr>
      <w:rFonts w:asciiTheme="majorHAnsi" w:eastAsiaTheme="majorEastAsia" w:hAnsiTheme="majorHAnsi" w:cstheme="majorBidi"/>
      <w:i/>
      <w:iCs/>
      <w:color w:val="B55C00" w:themeColor="accent1" w:themeShade="BF"/>
    </w:rPr>
  </w:style>
  <w:style w:type="character" w:customStyle="1" w:styleId="Kop5Char">
    <w:name w:val="Kop 5 Char"/>
    <w:basedOn w:val="Standaardalinea-lettertype"/>
    <w:link w:val="Kop5"/>
    <w:uiPriority w:val="9"/>
    <w:rsid w:val="00D052E0"/>
    <w:rPr>
      <w:rFonts w:asciiTheme="majorHAnsi" w:eastAsiaTheme="majorEastAsia" w:hAnsiTheme="majorHAnsi" w:cstheme="majorBidi"/>
      <w:color w:val="B55C00" w:themeColor="accent1" w:themeShade="BF"/>
    </w:rPr>
  </w:style>
  <w:style w:type="paragraph" w:styleId="Ondertitel">
    <w:name w:val="Subtitle"/>
    <w:basedOn w:val="Standaard"/>
    <w:next w:val="Standaard"/>
    <w:link w:val="OndertitelChar"/>
    <w:uiPriority w:val="11"/>
    <w:qFormat/>
    <w:rsid w:val="008644F3"/>
    <w:pPr>
      <w:numPr>
        <w:ilvl w:val="1"/>
      </w:numPr>
    </w:pPr>
    <w:rPr>
      <w:rFonts w:asciiTheme="majorHAnsi" w:eastAsiaTheme="minorEastAsia" w:hAnsiTheme="majorHAnsi"/>
      <w:color w:val="F27D00" w:themeColor="accent1"/>
      <w:sz w:val="28"/>
    </w:rPr>
  </w:style>
  <w:style w:type="character" w:customStyle="1" w:styleId="OndertitelChar">
    <w:name w:val="Ondertitel Char"/>
    <w:basedOn w:val="Standaardalinea-lettertype"/>
    <w:link w:val="Ondertitel"/>
    <w:uiPriority w:val="11"/>
    <w:rsid w:val="008644F3"/>
    <w:rPr>
      <w:rFonts w:asciiTheme="majorHAnsi" w:eastAsiaTheme="minorEastAsia" w:hAnsiTheme="majorHAnsi"/>
      <w:color w:val="F27D00"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BB Office thema">
  <a:themeElements>
    <a:clrScheme name="Aangepast 5">
      <a:dk1>
        <a:sysClr val="windowText" lastClr="000000"/>
      </a:dk1>
      <a:lt1>
        <a:sysClr val="window" lastClr="FFFFFF"/>
      </a:lt1>
      <a:dk2>
        <a:srgbClr val="2A1A00"/>
      </a:dk2>
      <a:lt2>
        <a:srgbClr val="F3F3F2"/>
      </a:lt2>
      <a:accent1>
        <a:srgbClr val="F27D00"/>
      </a:accent1>
      <a:accent2>
        <a:srgbClr val="FDC300"/>
      </a:accent2>
      <a:accent3>
        <a:srgbClr val="D20B12"/>
      </a:accent3>
      <a:accent4>
        <a:srgbClr val="8CAA7E"/>
      </a:accent4>
      <a:accent5>
        <a:srgbClr val="D36F68"/>
      </a:accent5>
      <a:accent6>
        <a:srgbClr val="826276"/>
      </a:accent6>
      <a:hlink>
        <a:srgbClr val="46B2B5"/>
      </a:hlink>
      <a:folHlink>
        <a:srgbClr val="A46694"/>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den Berg</dc:creator>
  <cp:keywords/>
  <dc:description/>
  <cp:lastModifiedBy>Michiel van den Berg</cp:lastModifiedBy>
  <cp:revision>4</cp:revision>
  <dcterms:created xsi:type="dcterms:W3CDTF">2018-05-17T13:27:00Z</dcterms:created>
  <dcterms:modified xsi:type="dcterms:W3CDTF">2018-05-22T17:29:00Z</dcterms:modified>
</cp:coreProperties>
</file>